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F6" w:rsidRPr="00E3443C" w:rsidRDefault="005C6C8A" w:rsidP="008C33F6">
      <w:pPr>
        <w:widowControl w:val="0"/>
        <w:autoSpaceDE w:val="0"/>
        <w:autoSpaceDN w:val="0"/>
        <w:adjustRightInd w:val="0"/>
        <w:spacing w:after="0" w:line="240" w:lineRule="auto"/>
        <w:ind w:right="120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20202"/>
          <w:sz w:val="20"/>
          <w:szCs w:val="20"/>
        </w:rPr>
        <w:t>PROXY LETTER</w:t>
      </w:r>
    </w:p>
    <w:p w:rsidR="005C6C8A" w:rsidRPr="005C6C8A" w:rsidRDefault="005C6C8A" w:rsidP="005C6C8A">
      <w:pPr>
        <w:widowControl w:val="0"/>
        <w:autoSpaceDE w:val="0"/>
        <w:autoSpaceDN w:val="0"/>
        <w:adjustRightInd w:val="0"/>
        <w:spacing w:after="0" w:line="240" w:lineRule="auto"/>
        <w:ind w:right="120"/>
        <w:jc w:val="center"/>
        <w:rPr>
          <w:rFonts w:ascii="Arial" w:eastAsia="Times New Roman" w:hAnsi="Arial" w:cs="Arial"/>
          <w:b/>
          <w:color w:val="020202"/>
          <w:sz w:val="20"/>
          <w:szCs w:val="20"/>
        </w:rPr>
      </w:pPr>
      <w:r w:rsidRPr="005C6C8A">
        <w:rPr>
          <w:rFonts w:ascii="Arial" w:eastAsia="Times New Roman" w:hAnsi="Arial" w:cs="Arial"/>
          <w:b/>
          <w:color w:val="020202"/>
          <w:sz w:val="20"/>
          <w:szCs w:val="20"/>
        </w:rPr>
        <w:t>TO ATTEND THE ANNUAL GENERAL MEETING OF SHAREHOLDERS</w:t>
      </w:r>
    </w:p>
    <w:p w:rsidR="005D1868" w:rsidRPr="00E3443C" w:rsidRDefault="008C33F6" w:rsidP="005C6C8A">
      <w:pPr>
        <w:widowControl w:val="0"/>
        <w:autoSpaceDE w:val="0"/>
        <w:autoSpaceDN w:val="0"/>
        <w:adjustRightInd w:val="0"/>
        <w:spacing w:after="0" w:line="240" w:lineRule="auto"/>
        <w:ind w:right="120"/>
        <w:jc w:val="center"/>
        <w:rPr>
          <w:rFonts w:ascii="Arial" w:eastAsia="Times New Roman" w:hAnsi="Arial" w:cs="Arial"/>
          <w:b/>
          <w:color w:val="020202"/>
          <w:sz w:val="20"/>
          <w:szCs w:val="20"/>
        </w:rPr>
      </w:pP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PT</w:t>
      </w:r>
      <w:r w:rsidRPr="005C6C8A">
        <w:rPr>
          <w:rFonts w:ascii="Arial" w:eastAsia="Times New Roman" w:hAnsi="Arial" w:cs="Arial"/>
          <w:b/>
          <w:color w:val="020202"/>
          <w:sz w:val="20"/>
          <w:szCs w:val="20"/>
        </w:rPr>
        <w:t xml:space="preserve"> 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ADARO</w:t>
      </w:r>
      <w:r w:rsidRPr="005C6C8A">
        <w:rPr>
          <w:rFonts w:ascii="Arial" w:eastAsia="Times New Roman" w:hAnsi="Arial" w:cs="Arial"/>
          <w:b/>
          <w:color w:val="020202"/>
          <w:sz w:val="20"/>
          <w:szCs w:val="20"/>
        </w:rPr>
        <w:t xml:space="preserve"> 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ENERGY</w:t>
      </w:r>
      <w:r w:rsidRPr="005C6C8A">
        <w:rPr>
          <w:rFonts w:ascii="Arial" w:eastAsia="Times New Roman" w:hAnsi="Arial" w:cs="Arial"/>
          <w:b/>
          <w:color w:val="020202"/>
          <w:sz w:val="20"/>
          <w:szCs w:val="20"/>
        </w:rPr>
        <w:t xml:space="preserve"> </w:t>
      </w:r>
      <w:r w:rsidR="0067003A">
        <w:rPr>
          <w:rFonts w:ascii="Arial" w:eastAsia="Times New Roman" w:hAnsi="Arial" w:cs="Arial"/>
          <w:b/>
          <w:color w:val="020202"/>
          <w:sz w:val="20"/>
          <w:szCs w:val="20"/>
        </w:rPr>
        <w:t>TBK</w:t>
      </w:r>
    </w:p>
    <w:p w:rsidR="008C33F6" w:rsidRPr="00E3443C" w:rsidRDefault="008C33F6" w:rsidP="008C33F6">
      <w:pPr>
        <w:spacing w:after="0" w:line="240" w:lineRule="auto"/>
        <w:rPr>
          <w:rFonts w:ascii="Arial" w:eastAsia="Times New Roman" w:hAnsi="Arial" w:cs="Arial"/>
          <w:b/>
          <w:color w:val="020202"/>
          <w:sz w:val="20"/>
          <w:szCs w:val="20"/>
        </w:rPr>
      </w:pPr>
    </w:p>
    <w:p w:rsidR="008C33F6" w:rsidRPr="00E3443C" w:rsidRDefault="005C6C8A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r>
        <w:rPr>
          <w:rFonts w:ascii="Arial" w:eastAsia="Times New Roman" w:hAnsi="Arial" w:cs="Arial"/>
          <w:color w:val="020202"/>
          <w:sz w:val="20"/>
          <w:szCs w:val="20"/>
        </w:rPr>
        <w:t>The undersigned below</w:t>
      </w:r>
      <w:r w:rsidR="00D13220" w:rsidRPr="00E3443C">
        <w:rPr>
          <w:rFonts w:ascii="Arial" w:eastAsia="Times New Roman" w:hAnsi="Arial" w:cs="Arial"/>
          <w:color w:val="020202"/>
          <w:sz w:val="20"/>
          <w:szCs w:val="20"/>
        </w:rPr>
        <w:t>:</w:t>
      </w:r>
    </w:p>
    <w:p w:rsidR="008C33F6" w:rsidRPr="00E3443C" w:rsidRDefault="008C33F6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tbl>
      <w:tblPr>
        <w:tblStyle w:val="TableGrid"/>
        <w:tblW w:w="89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930"/>
      </w:tblGrid>
      <w:tr w:rsidR="005B0645" w:rsidRPr="00E3443C" w:rsidTr="005B0645">
        <w:tc>
          <w:tcPr>
            <w:tcW w:w="1980" w:type="dxa"/>
          </w:tcPr>
          <w:p w:rsidR="005B0645" w:rsidRPr="00E3443C" w:rsidRDefault="005B0645" w:rsidP="005C6C8A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Name/Company:</w:t>
            </w:r>
          </w:p>
        </w:tc>
        <w:tc>
          <w:tcPr>
            <w:tcW w:w="6930" w:type="dxa"/>
          </w:tcPr>
          <w:p w:rsidR="005B0645" w:rsidRPr="0067003A" w:rsidRDefault="005B0645" w:rsidP="00D13220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___________________________________________________________</w:t>
            </w:r>
          </w:p>
        </w:tc>
      </w:tr>
      <w:tr w:rsidR="005B0645" w:rsidRPr="00E3443C" w:rsidTr="005B0645">
        <w:tc>
          <w:tcPr>
            <w:tcW w:w="1980" w:type="dxa"/>
          </w:tcPr>
          <w:p w:rsidR="005B0645" w:rsidRPr="00E3443C" w:rsidRDefault="005B0645" w:rsidP="005C6C8A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ddress:</w:t>
            </w:r>
          </w:p>
        </w:tc>
        <w:tc>
          <w:tcPr>
            <w:tcW w:w="6930" w:type="dxa"/>
          </w:tcPr>
          <w:p w:rsidR="005B0645" w:rsidRPr="0067003A" w:rsidRDefault="005B0645" w:rsidP="00D13220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___________________________________________________________</w:t>
            </w:r>
          </w:p>
        </w:tc>
      </w:tr>
      <w:tr w:rsidR="005B0645" w:rsidRPr="00E3443C" w:rsidTr="005B0645">
        <w:tc>
          <w:tcPr>
            <w:tcW w:w="1980" w:type="dxa"/>
          </w:tcPr>
          <w:p w:rsidR="005B0645" w:rsidRPr="00E3443C" w:rsidRDefault="005B0645" w:rsidP="00D13220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ID Number:</w:t>
            </w:r>
          </w:p>
        </w:tc>
        <w:tc>
          <w:tcPr>
            <w:tcW w:w="6930" w:type="dxa"/>
          </w:tcPr>
          <w:p w:rsidR="005B0645" w:rsidRPr="0067003A" w:rsidRDefault="005B0645" w:rsidP="00D13220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___________________________________________________________</w:t>
            </w:r>
          </w:p>
        </w:tc>
      </w:tr>
    </w:tbl>
    <w:p w:rsidR="00D13220" w:rsidRPr="00E3443C" w:rsidRDefault="00D13220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:rsidR="00D13220" w:rsidRPr="00E3443C" w:rsidRDefault="005B0645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20202"/>
          <w:sz w:val="20"/>
          <w:szCs w:val="20"/>
        </w:rPr>
        <w:t>a</w:t>
      </w:r>
      <w:r w:rsidR="005C6C8A">
        <w:rPr>
          <w:rFonts w:ascii="Arial" w:eastAsia="Times New Roman" w:hAnsi="Arial" w:cs="Arial"/>
          <w:color w:val="020202"/>
          <w:sz w:val="20"/>
          <w:szCs w:val="20"/>
        </w:rPr>
        <w:t>s</w:t>
      </w:r>
      <w:proofErr w:type="gramEnd"/>
      <w:r w:rsidR="005C6C8A">
        <w:rPr>
          <w:rFonts w:ascii="Arial" w:eastAsia="Times New Roman" w:hAnsi="Arial" w:cs="Arial"/>
          <w:color w:val="020202"/>
          <w:sz w:val="20"/>
          <w:szCs w:val="20"/>
        </w:rPr>
        <w:t xml:space="preserve"> the holder of</w:t>
      </w:r>
      <w:r w:rsidR="00D13220"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67003A">
        <w:rPr>
          <w:rFonts w:ascii="Arial" w:eastAsia="Times New Roman" w:hAnsi="Arial" w:cs="Arial"/>
          <w:color w:val="020202"/>
          <w:sz w:val="20"/>
          <w:szCs w:val="20"/>
        </w:rPr>
        <w:t>___________________</w:t>
      </w:r>
      <w:r w:rsidR="005C6C8A">
        <w:rPr>
          <w:rFonts w:ascii="Arial" w:eastAsia="Times New Roman" w:hAnsi="Arial" w:cs="Arial"/>
          <w:color w:val="020202"/>
          <w:sz w:val="20"/>
          <w:szCs w:val="20"/>
        </w:rPr>
        <w:t xml:space="preserve"> shares</w:t>
      </w:r>
      <w:r w:rsidR="00D13220"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5C6C8A">
        <w:rPr>
          <w:rFonts w:ascii="Arial" w:eastAsia="Times New Roman" w:hAnsi="Arial" w:cs="Arial"/>
          <w:color w:val="020202"/>
          <w:sz w:val="20"/>
          <w:szCs w:val="20"/>
        </w:rPr>
        <w:t xml:space="preserve">with valid voting rights in PT Adaro Energy </w:t>
      </w:r>
      <w:proofErr w:type="spellStart"/>
      <w:r w:rsidR="005C6C8A">
        <w:rPr>
          <w:rFonts w:ascii="Arial" w:eastAsia="Times New Roman" w:hAnsi="Arial" w:cs="Arial"/>
          <w:color w:val="020202"/>
          <w:sz w:val="20"/>
          <w:szCs w:val="20"/>
        </w:rPr>
        <w:t>Tbk</w:t>
      </w:r>
      <w:proofErr w:type="spellEnd"/>
      <w:r w:rsidR="005C6C8A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D13220" w:rsidRPr="00E3443C">
        <w:rPr>
          <w:rFonts w:ascii="Arial" w:eastAsia="Times New Roman" w:hAnsi="Arial" w:cs="Arial"/>
          <w:color w:val="020202"/>
          <w:sz w:val="20"/>
          <w:szCs w:val="20"/>
        </w:rPr>
        <w:t>(“</w:t>
      </w:r>
      <w:r w:rsidR="005C6C8A">
        <w:rPr>
          <w:rFonts w:ascii="Arial" w:eastAsia="Times New Roman" w:hAnsi="Arial" w:cs="Arial"/>
          <w:b/>
          <w:color w:val="020202"/>
          <w:sz w:val="20"/>
          <w:szCs w:val="20"/>
        </w:rPr>
        <w:t>the Compan</w:t>
      </w:r>
      <w:r w:rsidR="005C6C8A" w:rsidRPr="0042319C">
        <w:rPr>
          <w:rFonts w:ascii="Arial" w:eastAsia="Times New Roman" w:hAnsi="Arial" w:cs="Arial"/>
          <w:b/>
          <w:color w:val="020202"/>
          <w:sz w:val="20"/>
          <w:szCs w:val="20"/>
        </w:rPr>
        <w:t>y</w:t>
      </w:r>
      <w:r w:rsidR="0067003A">
        <w:rPr>
          <w:rFonts w:ascii="Arial" w:eastAsia="Times New Roman" w:hAnsi="Arial" w:cs="Arial"/>
          <w:color w:val="020202"/>
          <w:sz w:val="20"/>
          <w:szCs w:val="20"/>
        </w:rPr>
        <w:t xml:space="preserve">”), </w:t>
      </w:r>
      <w:r w:rsidR="005C6C8A" w:rsidRPr="005C6C8A">
        <w:rPr>
          <w:rFonts w:ascii="Arial" w:eastAsia="Times New Roman" w:hAnsi="Arial" w:cs="Arial"/>
          <w:color w:val="020202"/>
          <w:sz w:val="20"/>
          <w:szCs w:val="20"/>
        </w:rPr>
        <w:t>hereinaf</w:t>
      </w:r>
      <w:r w:rsidR="005C6C8A">
        <w:rPr>
          <w:rFonts w:ascii="Arial" w:eastAsia="Times New Roman" w:hAnsi="Arial" w:cs="Arial"/>
          <w:color w:val="020202"/>
          <w:sz w:val="20"/>
          <w:szCs w:val="20"/>
        </w:rPr>
        <w:t xml:space="preserve">ter shall be referred to as </w:t>
      </w:r>
      <w:r w:rsidR="0042319C">
        <w:rPr>
          <w:rFonts w:ascii="Arial" w:eastAsia="Times New Roman" w:hAnsi="Arial" w:cs="Arial"/>
          <w:color w:val="020202"/>
          <w:sz w:val="20"/>
          <w:szCs w:val="20"/>
        </w:rPr>
        <w:t xml:space="preserve">the </w:t>
      </w:r>
      <w:r w:rsidR="005C6C8A" w:rsidRPr="005C6C8A">
        <w:rPr>
          <w:rFonts w:ascii="Arial" w:eastAsia="Times New Roman" w:hAnsi="Arial" w:cs="Arial"/>
          <w:color w:val="020202"/>
          <w:sz w:val="20"/>
          <w:szCs w:val="20"/>
        </w:rPr>
        <w:t>“</w:t>
      </w:r>
      <w:r w:rsidR="005C6C8A" w:rsidRPr="005C6C8A">
        <w:rPr>
          <w:rFonts w:ascii="Arial" w:eastAsia="Times New Roman" w:hAnsi="Arial" w:cs="Arial"/>
          <w:b/>
          <w:color w:val="020202"/>
          <w:sz w:val="20"/>
          <w:szCs w:val="20"/>
        </w:rPr>
        <w:t>Principal</w:t>
      </w:r>
      <w:r w:rsidR="005C6C8A" w:rsidRPr="005C6C8A">
        <w:rPr>
          <w:rFonts w:ascii="Arial" w:eastAsia="Times New Roman" w:hAnsi="Arial" w:cs="Arial"/>
          <w:color w:val="020202"/>
          <w:sz w:val="20"/>
          <w:szCs w:val="20"/>
        </w:rPr>
        <w:t>”</w:t>
      </w:r>
      <w:r w:rsidR="001548BC">
        <w:rPr>
          <w:rFonts w:ascii="Arial" w:eastAsia="Times New Roman" w:hAnsi="Arial" w:cs="Arial"/>
          <w:color w:val="020202"/>
          <w:sz w:val="20"/>
          <w:szCs w:val="20"/>
        </w:rPr>
        <w:t>.</w:t>
      </w:r>
    </w:p>
    <w:p w:rsidR="00D13220" w:rsidRPr="00E3443C" w:rsidRDefault="00D13220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:rsidR="00D13220" w:rsidRPr="00E3443C" w:rsidRDefault="005B0645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20202"/>
          <w:sz w:val="20"/>
          <w:szCs w:val="20"/>
        </w:rPr>
        <w:t>h</w:t>
      </w:r>
      <w:r w:rsidR="001548BC" w:rsidRPr="001548BC">
        <w:rPr>
          <w:rFonts w:ascii="Arial" w:eastAsia="Times New Roman" w:hAnsi="Arial" w:cs="Arial"/>
          <w:color w:val="020202"/>
          <w:sz w:val="20"/>
          <w:szCs w:val="20"/>
        </w:rPr>
        <w:t>ereby</w:t>
      </w:r>
      <w:proofErr w:type="gramEnd"/>
      <w:r w:rsidR="001548BC" w:rsidRPr="001548BC">
        <w:rPr>
          <w:rFonts w:ascii="Arial" w:eastAsia="Times New Roman" w:hAnsi="Arial" w:cs="Arial"/>
          <w:color w:val="020202"/>
          <w:sz w:val="20"/>
          <w:szCs w:val="20"/>
        </w:rPr>
        <w:t xml:space="preserve"> grant power of attorney to</w:t>
      </w:r>
      <w:r w:rsidR="00D13220" w:rsidRPr="00E3443C">
        <w:rPr>
          <w:rFonts w:ascii="Arial" w:eastAsia="Times New Roman" w:hAnsi="Arial" w:cs="Arial"/>
          <w:color w:val="020202"/>
          <w:sz w:val="20"/>
          <w:szCs w:val="20"/>
        </w:rPr>
        <w:t>:</w:t>
      </w:r>
    </w:p>
    <w:p w:rsidR="00D13220" w:rsidRPr="00E3443C" w:rsidRDefault="00D13220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tbl>
      <w:tblPr>
        <w:tblStyle w:val="TableGrid"/>
        <w:tblW w:w="90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20"/>
      </w:tblGrid>
      <w:tr w:rsidR="005B0645" w:rsidRPr="00E3443C" w:rsidTr="005B0645">
        <w:tc>
          <w:tcPr>
            <w:tcW w:w="1980" w:type="dxa"/>
          </w:tcPr>
          <w:p w:rsidR="005B0645" w:rsidRPr="00E3443C" w:rsidRDefault="005B0645" w:rsidP="001548BC">
            <w:pPr>
              <w:jc w:val="both"/>
              <w:rPr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Nam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e:</w:t>
            </w:r>
          </w:p>
        </w:tc>
        <w:tc>
          <w:tcPr>
            <w:tcW w:w="7020" w:type="dxa"/>
          </w:tcPr>
          <w:p w:rsidR="005B0645" w:rsidRPr="00E3443C" w:rsidRDefault="005B0645" w:rsidP="008C33F6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___________________________________________________________</w:t>
            </w:r>
          </w:p>
        </w:tc>
      </w:tr>
      <w:tr w:rsidR="005B0645" w:rsidRPr="00E3443C" w:rsidTr="005B0645">
        <w:tc>
          <w:tcPr>
            <w:tcW w:w="1980" w:type="dxa"/>
          </w:tcPr>
          <w:p w:rsidR="005B0645" w:rsidRPr="00E3443C" w:rsidRDefault="005B0645" w:rsidP="001548BC">
            <w:pPr>
              <w:jc w:val="both"/>
              <w:rPr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ddress:</w:t>
            </w:r>
          </w:p>
        </w:tc>
        <w:tc>
          <w:tcPr>
            <w:tcW w:w="7020" w:type="dxa"/>
          </w:tcPr>
          <w:p w:rsidR="005B0645" w:rsidRPr="00E3443C" w:rsidRDefault="005B0645" w:rsidP="00D13220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___________________________________________________________</w:t>
            </w:r>
          </w:p>
        </w:tc>
      </w:tr>
      <w:tr w:rsidR="005B0645" w:rsidRPr="00E3443C" w:rsidTr="005B0645">
        <w:tc>
          <w:tcPr>
            <w:tcW w:w="1980" w:type="dxa"/>
          </w:tcPr>
          <w:p w:rsidR="005B0645" w:rsidRPr="00E3443C" w:rsidRDefault="005B0645" w:rsidP="001548BC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 xml:space="preserve">ID </w:t>
            </w:r>
            <w:r w:rsidRPr="00E3443C"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umber:</w:t>
            </w:r>
          </w:p>
        </w:tc>
        <w:tc>
          <w:tcPr>
            <w:tcW w:w="7020" w:type="dxa"/>
          </w:tcPr>
          <w:p w:rsidR="005B0645" w:rsidRPr="00E3443C" w:rsidRDefault="005B0645" w:rsidP="008C33F6">
            <w:pPr>
              <w:widowControl w:val="0"/>
              <w:autoSpaceDE w:val="0"/>
              <w:autoSpaceDN w:val="0"/>
              <w:adjustRightInd w:val="0"/>
              <w:spacing w:line="245" w:lineRule="exact"/>
              <w:ind w:left="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___________________________________________________________</w:t>
            </w:r>
          </w:p>
        </w:tc>
      </w:tr>
    </w:tbl>
    <w:p w:rsidR="008C33F6" w:rsidRPr="00E3443C" w:rsidRDefault="008C33F6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:rsidR="008C33F6" w:rsidRPr="00E3443C" w:rsidRDefault="001548BC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proofErr w:type="gramStart"/>
      <w:r w:rsidRPr="001548BC">
        <w:rPr>
          <w:rFonts w:ascii="Arial" w:eastAsia="Times New Roman" w:hAnsi="Arial" w:cs="Arial"/>
          <w:color w:val="020202"/>
          <w:sz w:val="20"/>
          <w:szCs w:val="20"/>
        </w:rPr>
        <w:t>hereinaf</w:t>
      </w:r>
      <w:r>
        <w:rPr>
          <w:rFonts w:ascii="Arial" w:eastAsia="Times New Roman" w:hAnsi="Arial" w:cs="Arial"/>
          <w:color w:val="020202"/>
          <w:sz w:val="20"/>
          <w:szCs w:val="20"/>
        </w:rPr>
        <w:t>ter</w:t>
      </w:r>
      <w:proofErr w:type="gramEnd"/>
      <w:r>
        <w:rPr>
          <w:rFonts w:ascii="Arial" w:eastAsia="Times New Roman" w:hAnsi="Arial" w:cs="Arial"/>
          <w:color w:val="020202"/>
          <w:sz w:val="20"/>
          <w:szCs w:val="20"/>
        </w:rPr>
        <w:t xml:space="preserve"> shall be referred to as</w:t>
      </w:r>
      <w:r w:rsidR="0042319C">
        <w:rPr>
          <w:rFonts w:ascii="Arial" w:eastAsia="Times New Roman" w:hAnsi="Arial" w:cs="Arial"/>
          <w:color w:val="020202"/>
          <w:sz w:val="20"/>
          <w:szCs w:val="20"/>
        </w:rPr>
        <w:t xml:space="preserve"> the</w:t>
      </w:r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Pr="001548BC">
        <w:rPr>
          <w:rFonts w:ascii="Arial" w:eastAsia="Times New Roman" w:hAnsi="Arial" w:cs="Arial"/>
          <w:color w:val="020202"/>
          <w:sz w:val="20"/>
          <w:szCs w:val="20"/>
        </w:rPr>
        <w:t>“</w:t>
      </w:r>
      <w:r w:rsidRPr="001548BC">
        <w:rPr>
          <w:rFonts w:ascii="Arial" w:eastAsia="Times New Roman" w:hAnsi="Arial" w:cs="Arial"/>
          <w:b/>
          <w:color w:val="020202"/>
          <w:sz w:val="20"/>
          <w:szCs w:val="20"/>
        </w:rPr>
        <w:t>Attorney</w:t>
      </w:r>
      <w:r w:rsidRPr="001548BC">
        <w:rPr>
          <w:rFonts w:ascii="Arial" w:eastAsia="Times New Roman" w:hAnsi="Arial" w:cs="Arial"/>
          <w:color w:val="020202"/>
          <w:sz w:val="20"/>
          <w:szCs w:val="20"/>
        </w:rPr>
        <w:t>”</w:t>
      </w:r>
    </w:p>
    <w:p w:rsidR="008C33F6" w:rsidRPr="00E3443C" w:rsidRDefault="008C33F6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:rsidR="008C33F6" w:rsidRPr="00E3443C" w:rsidRDefault="008C33F6" w:rsidP="0092037B">
      <w:pPr>
        <w:spacing w:after="0" w:line="240" w:lineRule="auto"/>
        <w:jc w:val="center"/>
        <w:rPr>
          <w:rFonts w:ascii="Arial" w:eastAsia="Times New Roman" w:hAnsi="Arial" w:cs="Arial"/>
          <w:b/>
          <w:color w:val="020202"/>
          <w:sz w:val="20"/>
          <w:szCs w:val="20"/>
        </w:rPr>
      </w:pP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---------------------------------------------------------</w:t>
      </w:r>
      <w:r w:rsidR="001548BC">
        <w:rPr>
          <w:rFonts w:ascii="Arial" w:eastAsia="Times New Roman" w:hAnsi="Arial" w:cs="Arial"/>
          <w:b/>
          <w:color w:val="020202"/>
          <w:sz w:val="20"/>
          <w:szCs w:val="20"/>
        </w:rPr>
        <w:t>SPECIFICALLY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-----------------------------------------------------</w:t>
      </w:r>
    </w:p>
    <w:p w:rsidR="004671BF" w:rsidRPr="004671BF" w:rsidRDefault="004671BF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:rsidR="008C33F6" w:rsidRPr="00E3443C" w:rsidRDefault="00423EB9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r>
        <w:rPr>
          <w:rFonts w:ascii="Arial" w:eastAsia="Times New Roman" w:hAnsi="Arial" w:cs="Arial"/>
          <w:color w:val="020202"/>
          <w:sz w:val="20"/>
          <w:szCs w:val="20"/>
        </w:rPr>
        <w:t>to represent and on behalf</w:t>
      </w:r>
      <w:r w:rsidRPr="00423EB9">
        <w:rPr>
          <w:rFonts w:ascii="Arial" w:eastAsia="Times New Roman" w:hAnsi="Arial" w:cs="Arial"/>
          <w:color w:val="020202"/>
          <w:sz w:val="20"/>
          <w:szCs w:val="20"/>
        </w:rPr>
        <w:t xml:space="preserve"> of </w:t>
      </w:r>
      <w:r w:rsidR="0042319C">
        <w:rPr>
          <w:rFonts w:ascii="Arial" w:eastAsia="Times New Roman" w:hAnsi="Arial" w:cs="Arial"/>
          <w:color w:val="020202"/>
          <w:sz w:val="20"/>
          <w:szCs w:val="20"/>
        </w:rPr>
        <w:t>t</w:t>
      </w:r>
      <w:r w:rsidRPr="00423EB9">
        <w:rPr>
          <w:rFonts w:ascii="Arial" w:eastAsia="Times New Roman" w:hAnsi="Arial" w:cs="Arial"/>
          <w:color w:val="020202"/>
          <w:sz w:val="20"/>
          <w:szCs w:val="20"/>
        </w:rPr>
        <w:t xml:space="preserve">he Principal </w:t>
      </w:r>
      <w:r>
        <w:rPr>
          <w:rFonts w:ascii="Arial" w:eastAsia="Times New Roman" w:hAnsi="Arial" w:cs="Arial"/>
          <w:color w:val="020202"/>
          <w:sz w:val="20"/>
          <w:szCs w:val="20"/>
        </w:rPr>
        <w:t xml:space="preserve">to attend and </w:t>
      </w:r>
      <w:r w:rsidR="005B0645">
        <w:rPr>
          <w:rFonts w:ascii="Arial" w:eastAsia="Times New Roman" w:hAnsi="Arial" w:cs="Arial"/>
          <w:color w:val="020202"/>
          <w:sz w:val="20"/>
          <w:szCs w:val="20"/>
        </w:rPr>
        <w:t xml:space="preserve">to cast </w:t>
      </w:r>
      <w:r w:rsidRPr="00423EB9">
        <w:rPr>
          <w:rFonts w:ascii="Arial" w:eastAsia="Times New Roman" w:hAnsi="Arial" w:cs="Arial"/>
          <w:color w:val="020202"/>
          <w:sz w:val="20"/>
          <w:szCs w:val="20"/>
        </w:rPr>
        <w:t>vote</w:t>
      </w:r>
      <w:r w:rsidR="005B0645">
        <w:rPr>
          <w:rFonts w:ascii="Arial" w:eastAsia="Times New Roman" w:hAnsi="Arial" w:cs="Arial"/>
          <w:color w:val="020202"/>
          <w:sz w:val="20"/>
          <w:szCs w:val="20"/>
        </w:rPr>
        <w:t>s</w:t>
      </w:r>
      <w:r w:rsidRPr="00423EB9">
        <w:rPr>
          <w:rFonts w:ascii="Arial" w:eastAsia="Times New Roman" w:hAnsi="Arial" w:cs="Arial"/>
          <w:color w:val="020202"/>
          <w:sz w:val="20"/>
          <w:szCs w:val="20"/>
        </w:rPr>
        <w:t xml:space="preserve"> according to the number of shares </w:t>
      </w:r>
      <w:r w:rsidR="005B0645">
        <w:rPr>
          <w:rFonts w:ascii="Arial" w:eastAsia="Times New Roman" w:hAnsi="Arial" w:cs="Arial"/>
          <w:color w:val="020202"/>
          <w:sz w:val="20"/>
          <w:szCs w:val="20"/>
        </w:rPr>
        <w:t>as</w:t>
      </w:r>
      <w:r w:rsidRPr="00423EB9">
        <w:rPr>
          <w:rFonts w:ascii="Arial" w:eastAsia="Times New Roman" w:hAnsi="Arial" w:cs="Arial"/>
          <w:color w:val="020202"/>
          <w:sz w:val="20"/>
          <w:szCs w:val="20"/>
        </w:rPr>
        <w:t xml:space="preserve"> stated</w:t>
      </w:r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20202"/>
          <w:sz w:val="20"/>
          <w:szCs w:val="20"/>
        </w:rPr>
        <w:t xml:space="preserve">above </w:t>
      </w:r>
      <w:r w:rsidR="005B0645">
        <w:rPr>
          <w:rFonts w:ascii="Arial" w:eastAsia="Times New Roman" w:hAnsi="Arial" w:cs="Arial"/>
          <w:color w:val="020202"/>
          <w:sz w:val="20"/>
          <w:szCs w:val="20"/>
        </w:rPr>
        <w:t>i</w:t>
      </w:r>
      <w:r>
        <w:rPr>
          <w:rFonts w:ascii="Arial" w:eastAsia="Times New Roman" w:hAnsi="Arial" w:cs="Arial"/>
          <w:color w:val="020202"/>
          <w:sz w:val="20"/>
          <w:szCs w:val="20"/>
        </w:rPr>
        <w:t xml:space="preserve">n the Company’s Annual General Meeting of Shareholders 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(</w:t>
      </w:r>
      <w:r w:rsidR="008C33F6" w:rsidRPr="00E3443C">
        <w:rPr>
          <w:rFonts w:ascii="Arial" w:eastAsia="Times New Roman" w:hAnsi="Arial" w:cs="Arial"/>
          <w:color w:val="171717"/>
          <w:sz w:val="20"/>
          <w:szCs w:val="20"/>
        </w:rPr>
        <w:t>"</w:t>
      </w:r>
      <w:r w:rsidRPr="00423EB9">
        <w:rPr>
          <w:rFonts w:ascii="Arial" w:eastAsia="Times New Roman" w:hAnsi="Arial" w:cs="Arial"/>
          <w:b/>
          <w:color w:val="171717"/>
          <w:sz w:val="20"/>
          <w:szCs w:val="20"/>
        </w:rPr>
        <w:t xml:space="preserve">the </w:t>
      </w:r>
      <w:r w:rsidRPr="00423EB9">
        <w:rPr>
          <w:rFonts w:ascii="Arial" w:eastAsia="Times New Roman" w:hAnsi="Arial" w:cs="Arial"/>
          <w:b/>
          <w:color w:val="020202"/>
          <w:sz w:val="20"/>
          <w:szCs w:val="20"/>
        </w:rPr>
        <w:t>M</w:t>
      </w:r>
      <w:r>
        <w:rPr>
          <w:rFonts w:ascii="Arial" w:eastAsia="Times New Roman" w:hAnsi="Arial" w:cs="Arial"/>
          <w:b/>
          <w:color w:val="020202"/>
          <w:sz w:val="20"/>
          <w:szCs w:val="20"/>
        </w:rPr>
        <w:t>eeting</w:t>
      </w:r>
      <w:r w:rsidR="008C33F6" w:rsidRPr="00E3443C">
        <w:rPr>
          <w:rFonts w:ascii="Arial" w:eastAsia="Times New Roman" w:hAnsi="Arial" w:cs="Arial"/>
          <w:color w:val="171717"/>
          <w:sz w:val="20"/>
          <w:szCs w:val="20"/>
        </w:rPr>
        <w:t>"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)</w:t>
      </w:r>
      <w:r w:rsidR="008C33F6" w:rsidRPr="00E3443C">
        <w:rPr>
          <w:rFonts w:ascii="Arial" w:eastAsia="Times New Roman" w:hAnsi="Arial" w:cs="Arial"/>
          <w:color w:val="020202"/>
          <w:spacing w:val="2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20202"/>
          <w:sz w:val="20"/>
          <w:szCs w:val="20"/>
        </w:rPr>
        <w:t>which will be held on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:</w:t>
      </w:r>
    </w:p>
    <w:p w:rsidR="0092037B" w:rsidRPr="00E3443C" w:rsidRDefault="0092037B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3"/>
        <w:gridCol w:w="6327"/>
      </w:tblGrid>
      <w:tr w:rsidR="005B0645" w:rsidRPr="00E3443C" w:rsidTr="005B0645">
        <w:tc>
          <w:tcPr>
            <w:tcW w:w="2173" w:type="dxa"/>
          </w:tcPr>
          <w:p w:rsidR="005B0645" w:rsidRPr="00E3443C" w:rsidRDefault="005B0645" w:rsidP="002977B8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Date:</w:t>
            </w:r>
          </w:p>
        </w:tc>
        <w:tc>
          <w:tcPr>
            <w:tcW w:w="6327" w:type="dxa"/>
          </w:tcPr>
          <w:p w:rsidR="005B0645" w:rsidRPr="00E3443C" w:rsidRDefault="00F5141B" w:rsidP="00F5141B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Tuesday</w:t>
            </w:r>
            <w:r w:rsidR="005B0645"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,</w:t>
            </w:r>
            <w:r w:rsidR="005B0645" w:rsidRPr="00423EB9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April 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30</w:t>
            </w:r>
            <w:r w:rsidR="005B0645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,</w:t>
            </w:r>
            <w:r w:rsidR="005B0645" w:rsidRPr="00423EB9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r w:rsidR="005B0645"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201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9</w:t>
            </w:r>
          </w:p>
        </w:tc>
      </w:tr>
      <w:tr w:rsidR="005B0645" w:rsidRPr="00E3443C" w:rsidTr="005B0645">
        <w:tc>
          <w:tcPr>
            <w:tcW w:w="2173" w:type="dxa"/>
          </w:tcPr>
          <w:p w:rsidR="005B0645" w:rsidRPr="00E3443C" w:rsidRDefault="005B0645" w:rsidP="002977B8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Time:</w:t>
            </w:r>
          </w:p>
        </w:tc>
        <w:tc>
          <w:tcPr>
            <w:tcW w:w="6327" w:type="dxa"/>
          </w:tcPr>
          <w:p w:rsidR="005B0645" w:rsidRPr="00E3443C" w:rsidRDefault="00F5141B" w:rsidP="006167EF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09</w:t>
            </w:r>
            <w:r w:rsidR="005B0645">
              <w:rPr>
                <w:rFonts w:ascii="Arial" w:eastAsia="Times New Roman" w:hAnsi="Arial" w:cs="Arial"/>
                <w:color w:val="171717"/>
                <w:sz w:val="20"/>
                <w:szCs w:val="20"/>
              </w:rPr>
              <w:t>:</w:t>
            </w:r>
            <w:r w:rsidR="005B0645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30</w:t>
            </w:r>
            <w:r w:rsidR="005B0645" w:rsidRPr="00E3443C">
              <w:rPr>
                <w:rFonts w:ascii="Arial" w:eastAsia="Times New Roman" w:hAnsi="Arial" w:cs="Arial"/>
                <w:color w:val="020202"/>
                <w:spacing w:val="4"/>
                <w:sz w:val="20"/>
                <w:szCs w:val="20"/>
              </w:rPr>
              <w:t xml:space="preserve"> </w:t>
            </w:r>
            <w:r w:rsidR="005B0645"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- </w:t>
            </w:r>
            <w:r w:rsidR="005B0645" w:rsidRPr="00E3443C">
              <w:rPr>
                <w:rFonts w:ascii="Arial" w:eastAsia="Times New Roman" w:hAnsi="Arial" w:cs="Arial"/>
                <w:color w:val="020202"/>
                <w:spacing w:val="2"/>
                <w:sz w:val="20"/>
                <w:szCs w:val="20"/>
              </w:rPr>
              <w:t>1</w:t>
            </w:r>
            <w:r w:rsidR="005B0645">
              <w:rPr>
                <w:rFonts w:ascii="Arial" w:eastAsia="Times New Roman" w:hAnsi="Arial" w:cs="Arial"/>
                <w:color w:val="020202"/>
                <w:spacing w:val="2"/>
                <w:sz w:val="20"/>
                <w:szCs w:val="20"/>
              </w:rPr>
              <w:t>3:</w:t>
            </w:r>
            <w:r w:rsidR="005B0645" w:rsidRPr="00E3443C">
              <w:rPr>
                <w:rFonts w:ascii="Arial" w:eastAsia="Times New Roman" w:hAnsi="Arial" w:cs="Arial"/>
                <w:color w:val="020202"/>
                <w:spacing w:val="2"/>
                <w:sz w:val="20"/>
                <w:szCs w:val="20"/>
              </w:rPr>
              <w:t xml:space="preserve">00 </w:t>
            </w:r>
            <w:r w:rsidR="005B0645">
              <w:rPr>
                <w:rFonts w:ascii="Arial" w:eastAsia="Times New Roman" w:hAnsi="Arial" w:cs="Arial"/>
                <w:color w:val="020202"/>
                <w:spacing w:val="2"/>
                <w:sz w:val="20"/>
                <w:szCs w:val="20"/>
              </w:rPr>
              <w:t>Jakarta Time</w:t>
            </w:r>
          </w:p>
        </w:tc>
      </w:tr>
      <w:tr w:rsidR="005B0645" w:rsidRPr="004671BF" w:rsidTr="005B0645">
        <w:tc>
          <w:tcPr>
            <w:tcW w:w="2173" w:type="dxa"/>
          </w:tcPr>
          <w:p w:rsidR="005B0645" w:rsidRPr="00E3443C" w:rsidRDefault="005B0645" w:rsidP="002977B8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Place:</w:t>
            </w:r>
          </w:p>
        </w:tc>
        <w:tc>
          <w:tcPr>
            <w:tcW w:w="6327" w:type="dxa"/>
          </w:tcPr>
          <w:p w:rsidR="005B0645" w:rsidRPr="00203390" w:rsidRDefault="005B0645" w:rsidP="009B3A36">
            <w:pPr>
              <w:pStyle w:val="Pa3"/>
              <w:rPr>
                <w:rFonts w:eastAsia="Times New Roman"/>
                <w:color w:val="020202"/>
                <w:sz w:val="20"/>
                <w:szCs w:val="20"/>
              </w:rPr>
            </w:pPr>
            <w:r w:rsidRPr="00203390">
              <w:rPr>
                <w:rFonts w:eastAsia="Times New Roman"/>
                <w:color w:val="020202"/>
                <w:sz w:val="20"/>
                <w:szCs w:val="20"/>
              </w:rPr>
              <w:t xml:space="preserve">Raffles Hotel Jakarta </w:t>
            </w:r>
          </w:p>
          <w:p w:rsidR="005B0645" w:rsidRPr="00203390" w:rsidRDefault="005B0645" w:rsidP="009B3A36">
            <w:pPr>
              <w:pStyle w:val="Pa3"/>
              <w:rPr>
                <w:rFonts w:eastAsia="Times New Roman"/>
                <w:color w:val="020202"/>
                <w:sz w:val="20"/>
                <w:szCs w:val="20"/>
              </w:rPr>
            </w:pPr>
            <w:proofErr w:type="spellStart"/>
            <w:r w:rsidRPr="00203390">
              <w:rPr>
                <w:rFonts w:eastAsia="Times New Roman"/>
                <w:color w:val="020202"/>
                <w:sz w:val="20"/>
                <w:szCs w:val="20"/>
              </w:rPr>
              <w:t>Ciputra</w:t>
            </w:r>
            <w:proofErr w:type="spellEnd"/>
            <w:r w:rsidRPr="00203390">
              <w:rPr>
                <w:rFonts w:eastAsia="Times New Roman"/>
                <w:color w:val="020202"/>
                <w:sz w:val="20"/>
                <w:szCs w:val="20"/>
              </w:rPr>
              <w:t xml:space="preserve"> World 1 </w:t>
            </w:r>
          </w:p>
          <w:p w:rsidR="005B0645" w:rsidRPr="00203390" w:rsidRDefault="005B0645" w:rsidP="009B3A36">
            <w:pPr>
              <w:pStyle w:val="Pa3"/>
              <w:rPr>
                <w:rFonts w:eastAsia="Times New Roman"/>
                <w:color w:val="020202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20202"/>
                <w:sz w:val="20"/>
                <w:szCs w:val="20"/>
              </w:rPr>
              <w:t>Jalan</w:t>
            </w:r>
            <w:proofErr w:type="spellEnd"/>
            <w:r>
              <w:rPr>
                <w:rFonts w:eastAsia="Times New Roman"/>
                <w:color w:val="0202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20202"/>
                <w:sz w:val="20"/>
                <w:szCs w:val="20"/>
              </w:rPr>
              <w:t>Profe</w:t>
            </w:r>
            <w:r w:rsidRPr="00203390">
              <w:rPr>
                <w:rFonts w:eastAsia="Times New Roman"/>
                <w:color w:val="020202"/>
                <w:sz w:val="20"/>
                <w:szCs w:val="20"/>
              </w:rPr>
              <w:t>sor</w:t>
            </w:r>
            <w:proofErr w:type="spellEnd"/>
            <w:r w:rsidRPr="00203390">
              <w:rPr>
                <w:rFonts w:eastAsia="Times New Roman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203390">
              <w:rPr>
                <w:rFonts w:eastAsia="Times New Roman"/>
                <w:color w:val="020202"/>
                <w:sz w:val="20"/>
                <w:szCs w:val="20"/>
              </w:rPr>
              <w:t>Doktor</w:t>
            </w:r>
            <w:proofErr w:type="spellEnd"/>
            <w:r w:rsidRPr="00203390">
              <w:rPr>
                <w:rFonts w:eastAsia="Times New Roman"/>
                <w:color w:val="020202"/>
                <w:sz w:val="20"/>
                <w:szCs w:val="20"/>
              </w:rPr>
              <w:t xml:space="preserve"> Satrio </w:t>
            </w:r>
            <w:proofErr w:type="spellStart"/>
            <w:r w:rsidRPr="00203390">
              <w:rPr>
                <w:rFonts w:eastAsia="Times New Roman"/>
                <w:color w:val="020202"/>
                <w:sz w:val="20"/>
                <w:szCs w:val="20"/>
              </w:rPr>
              <w:t>Kav</w:t>
            </w:r>
            <w:proofErr w:type="spellEnd"/>
            <w:r w:rsidRPr="00203390">
              <w:rPr>
                <w:rFonts w:eastAsia="Times New Roman"/>
                <w:color w:val="020202"/>
                <w:sz w:val="20"/>
                <w:szCs w:val="20"/>
              </w:rPr>
              <w:t xml:space="preserve">. 3-5 </w:t>
            </w:r>
          </w:p>
          <w:p w:rsidR="005B0645" w:rsidRPr="004671BF" w:rsidRDefault="005B0645" w:rsidP="009B3A36">
            <w:pPr>
              <w:widowControl w:val="0"/>
              <w:autoSpaceDE w:val="0"/>
              <w:autoSpaceDN w:val="0"/>
              <w:adjustRightInd w:val="0"/>
              <w:spacing w:line="245" w:lineRule="exact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Jakarta, 12940</w:t>
            </w:r>
          </w:p>
        </w:tc>
      </w:tr>
    </w:tbl>
    <w:p w:rsidR="00E3443C" w:rsidRPr="00E3443C" w:rsidRDefault="00E3443C" w:rsidP="006E3E46">
      <w:pPr>
        <w:widowControl w:val="0"/>
        <w:autoSpaceDE w:val="0"/>
        <w:autoSpaceDN w:val="0"/>
        <w:adjustRightInd w:val="0"/>
        <w:spacing w:before="1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id-ID"/>
        </w:rPr>
      </w:pPr>
    </w:p>
    <w:p w:rsidR="00E3443C" w:rsidRPr="004671BF" w:rsidRDefault="005554CB" w:rsidP="004671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In </w:t>
      </w:r>
      <w:r w:rsidR="005B0645">
        <w:rPr>
          <w:rFonts w:ascii="Arial" w:eastAsia="Times New Roman" w:hAnsi="Arial" w:cs="Arial"/>
          <w:color w:val="000000"/>
          <w:sz w:val="20"/>
          <w:szCs w:val="20"/>
        </w:rPr>
        <w:t>regard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to the Meeting Agenda</w:t>
      </w:r>
      <w:r w:rsidR="004671BF">
        <w:rPr>
          <w:rFonts w:ascii="Arial" w:eastAsia="Times New Roman" w:hAnsi="Arial" w:cs="Arial"/>
          <w:color w:val="000000"/>
          <w:sz w:val="20"/>
          <w:szCs w:val="20"/>
          <w:lang w:val="id-ID"/>
        </w:rPr>
        <w:t>,</w:t>
      </w:r>
      <w:r w:rsidR="004671B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I/we</w:t>
      </w:r>
      <w:r w:rsidR="004671B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ask the Attorney</w:t>
      </w:r>
      <w:r w:rsidR="004671BF" w:rsidRPr="004671BF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to cast votes as follows</w:t>
      </w:r>
      <w:r w:rsidR="004671BF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D62BCB" w:rsidRPr="00D62BCB" w:rsidRDefault="00D62BCB" w:rsidP="00B33027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4986"/>
        <w:gridCol w:w="1221"/>
        <w:gridCol w:w="1167"/>
        <w:gridCol w:w="1073"/>
      </w:tblGrid>
      <w:tr w:rsidR="004671BF" w:rsidRPr="00E3443C" w:rsidTr="00576327">
        <w:tc>
          <w:tcPr>
            <w:tcW w:w="571" w:type="dxa"/>
            <w:tcBorders>
              <w:right w:val="single" w:sz="4" w:space="0" w:color="auto"/>
            </w:tcBorders>
            <w:shd w:val="clear" w:color="auto" w:fill="auto"/>
          </w:tcPr>
          <w:p w:rsid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71BF" w:rsidRP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5027" w:type="dxa"/>
            <w:tcBorders>
              <w:right w:val="single" w:sz="4" w:space="0" w:color="auto"/>
            </w:tcBorders>
            <w:shd w:val="clear" w:color="auto" w:fill="auto"/>
          </w:tcPr>
          <w:p w:rsid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2C27" w:rsidRP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Agenda</w:t>
            </w:r>
          </w:p>
        </w:tc>
        <w:tc>
          <w:tcPr>
            <w:tcW w:w="1226" w:type="dxa"/>
            <w:tcBorders>
              <w:right w:val="single" w:sz="4" w:space="0" w:color="auto"/>
            </w:tcBorders>
            <w:shd w:val="clear" w:color="auto" w:fill="auto"/>
          </w:tcPr>
          <w:p w:rsid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71BF" w:rsidRPr="00562C27" w:rsidRDefault="00C232CF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auto"/>
          </w:tcPr>
          <w:p w:rsidR="00C232CF" w:rsidRDefault="00C232CF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71BF" w:rsidRPr="00562C27" w:rsidRDefault="00C232CF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Disagree</w:t>
            </w:r>
          </w:p>
        </w:tc>
        <w:tc>
          <w:tcPr>
            <w:tcW w:w="1074" w:type="dxa"/>
            <w:tcBorders>
              <w:right w:val="single" w:sz="4" w:space="0" w:color="auto"/>
            </w:tcBorders>
            <w:shd w:val="clear" w:color="auto" w:fill="auto"/>
          </w:tcPr>
          <w:p w:rsid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71BF" w:rsidRP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Abstain</w:t>
            </w:r>
          </w:p>
        </w:tc>
      </w:tr>
      <w:tr w:rsidR="00E3443C" w:rsidRPr="00E3443C" w:rsidTr="006167EF">
        <w:trPr>
          <w:trHeight w:val="656"/>
        </w:trPr>
        <w:tc>
          <w:tcPr>
            <w:tcW w:w="571" w:type="dxa"/>
            <w:tcBorders>
              <w:right w:val="single" w:sz="4" w:space="0" w:color="auto"/>
            </w:tcBorders>
          </w:tcPr>
          <w:p w:rsidR="00E3443C" w:rsidRPr="00E3443C" w:rsidRDefault="00E3443C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4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27" w:type="dxa"/>
            <w:tcBorders>
              <w:left w:val="single" w:sz="4" w:space="0" w:color="auto"/>
              <w:right w:val="single" w:sz="4" w:space="0" w:color="auto"/>
            </w:tcBorders>
          </w:tcPr>
          <w:p w:rsidR="00576327" w:rsidRPr="006167EF" w:rsidRDefault="006167EF" w:rsidP="00F5141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6167EF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Approval of the Annual Report and the ratification of the Company’s Consolidated Financial Statements for fiscal year 201</w:t>
            </w:r>
            <w:r w:rsidR="00F5141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8</w:t>
            </w:r>
            <w:r w:rsidR="00EA543A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;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E3443C" w:rsidRPr="00E3443C" w:rsidRDefault="00E3443C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E3443C" w:rsidRPr="00E3443C" w:rsidRDefault="00E3443C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E3443C" w:rsidRPr="00E3443C" w:rsidRDefault="00E3443C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43C" w:rsidRPr="00E3443C" w:rsidTr="006167EF">
        <w:trPr>
          <w:trHeight w:val="404"/>
        </w:trPr>
        <w:tc>
          <w:tcPr>
            <w:tcW w:w="571" w:type="dxa"/>
            <w:tcBorders>
              <w:bottom w:val="single" w:sz="4" w:space="0" w:color="auto"/>
            </w:tcBorders>
          </w:tcPr>
          <w:p w:rsidR="00E3443C" w:rsidRPr="00E3443C" w:rsidRDefault="00E3443C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3443C">
              <w:rPr>
                <w:rFonts w:ascii="Arial" w:hAnsi="Arial" w:cs="Arial"/>
                <w:sz w:val="20"/>
                <w:szCs w:val="20"/>
                <w:lang w:val="id-ID"/>
              </w:rPr>
              <w:t>2</w:t>
            </w:r>
          </w:p>
        </w:tc>
        <w:tc>
          <w:tcPr>
            <w:tcW w:w="5027" w:type="dxa"/>
            <w:tcBorders>
              <w:bottom w:val="single" w:sz="4" w:space="0" w:color="auto"/>
            </w:tcBorders>
          </w:tcPr>
          <w:p w:rsidR="00576327" w:rsidRPr="006167EF" w:rsidRDefault="006167EF" w:rsidP="00F5141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6167EF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Determination of the use of the Company’s net profit for fiscal year 201</w:t>
            </w:r>
            <w:r w:rsidR="00F5141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8</w:t>
            </w:r>
            <w:r w:rsidR="00EA543A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;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E3443C" w:rsidRPr="00E3443C" w:rsidRDefault="00E3443C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E3443C" w:rsidRPr="00E3443C" w:rsidRDefault="00E3443C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E3443C" w:rsidRPr="00E3443C" w:rsidRDefault="00E3443C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BCB" w:rsidRPr="00E3443C" w:rsidTr="006167EF">
        <w:trPr>
          <w:trHeight w:val="476"/>
        </w:trPr>
        <w:tc>
          <w:tcPr>
            <w:tcW w:w="571" w:type="dxa"/>
            <w:tcBorders>
              <w:top w:val="single" w:sz="4" w:space="0" w:color="auto"/>
            </w:tcBorders>
          </w:tcPr>
          <w:p w:rsidR="00D62BCB" w:rsidRPr="00D62BCB" w:rsidRDefault="00D62BCB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27" w:type="dxa"/>
            <w:tcBorders>
              <w:top w:val="single" w:sz="4" w:space="0" w:color="auto"/>
            </w:tcBorders>
          </w:tcPr>
          <w:p w:rsidR="00576327" w:rsidRPr="006167EF" w:rsidRDefault="00F5141B" w:rsidP="009B3A3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The appointment of the Company’s Independent Commissioner</w:t>
            </w:r>
            <w:r w:rsidR="00EA543A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;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:rsidR="00D62BCB" w:rsidRPr="00E3443C" w:rsidRDefault="00D62BCB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</w:tcBorders>
          </w:tcPr>
          <w:p w:rsidR="00D62BCB" w:rsidRPr="00E3443C" w:rsidRDefault="00D62BCB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D62BCB" w:rsidRPr="00E3443C" w:rsidRDefault="00D62BCB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43C" w:rsidRPr="00E3443C" w:rsidTr="0076421E">
        <w:trPr>
          <w:trHeight w:val="710"/>
        </w:trPr>
        <w:tc>
          <w:tcPr>
            <w:tcW w:w="571" w:type="dxa"/>
          </w:tcPr>
          <w:p w:rsidR="00E3443C" w:rsidRPr="006167EF" w:rsidRDefault="006167EF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27" w:type="dxa"/>
          </w:tcPr>
          <w:p w:rsidR="00576327" w:rsidRPr="006167EF" w:rsidRDefault="0076421E" w:rsidP="00F5141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76421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The appointment of </w:t>
            </w:r>
            <w:r w:rsidR="002B4BD1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</w:t>
            </w:r>
            <w:r w:rsidRPr="0076421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Public Accountant to audit the Company’s Consolidated Financial Statements for fiscal year 201</w:t>
            </w:r>
            <w:r w:rsidR="00F5141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9</w:t>
            </w:r>
            <w:r w:rsidR="00EA543A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;</w:t>
            </w:r>
          </w:p>
        </w:tc>
        <w:tc>
          <w:tcPr>
            <w:tcW w:w="1226" w:type="dxa"/>
          </w:tcPr>
          <w:p w:rsidR="00E3443C" w:rsidRPr="00E3443C" w:rsidRDefault="00E3443C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:rsidR="00E3443C" w:rsidRPr="00E3443C" w:rsidRDefault="00E3443C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</w:tcPr>
          <w:p w:rsidR="00E3443C" w:rsidRPr="00E3443C" w:rsidRDefault="00E3443C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43C" w:rsidRPr="00E3443C" w:rsidTr="006167EF">
        <w:trPr>
          <w:trHeight w:val="845"/>
        </w:trPr>
        <w:tc>
          <w:tcPr>
            <w:tcW w:w="571" w:type="dxa"/>
          </w:tcPr>
          <w:p w:rsidR="00E3443C" w:rsidRPr="006167EF" w:rsidRDefault="006167EF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27" w:type="dxa"/>
          </w:tcPr>
          <w:p w:rsidR="00E3443C" w:rsidRPr="006167EF" w:rsidRDefault="0076421E" w:rsidP="00F5141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Determination of the honorarium or </w:t>
            </w:r>
            <w:r w:rsidR="006167EF" w:rsidRPr="006167EF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salary and other allowances for the Company’s Boards of Commissioners and Board of Directors for fiscal year 201</w:t>
            </w:r>
            <w:r w:rsidR="00F5141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9</w:t>
            </w:r>
            <w:r w:rsidR="00EA543A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.</w:t>
            </w:r>
          </w:p>
        </w:tc>
        <w:tc>
          <w:tcPr>
            <w:tcW w:w="1226" w:type="dxa"/>
          </w:tcPr>
          <w:p w:rsidR="00E3443C" w:rsidRPr="00E3443C" w:rsidRDefault="00E3443C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:rsidR="00E3443C" w:rsidRPr="00E3443C" w:rsidRDefault="00E3443C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</w:tcPr>
          <w:p w:rsidR="00E3443C" w:rsidRPr="00E3443C" w:rsidRDefault="00E3443C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443C" w:rsidRDefault="00E3443C" w:rsidP="00B33027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6167EF" w:rsidRDefault="006167EF" w:rsidP="00B33027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6167EF" w:rsidRDefault="006167EF" w:rsidP="00B33027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304B8" w:rsidRDefault="001304B8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76421E" w:rsidRDefault="0076421E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76421E" w:rsidRDefault="0076421E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76421E" w:rsidRDefault="0076421E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C33F6" w:rsidRDefault="00CE65A1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This </w:t>
      </w:r>
      <w:r w:rsidRPr="00CE65A1">
        <w:rPr>
          <w:rFonts w:ascii="Arial" w:eastAsia="Times New Roman" w:hAnsi="Arial" w:cs="Arial"/>
          <w:color w:val="000000"/>
          <w:sz w:val="20"/>
          <w:szCs w:val="20"/>
        </w:rPr>
        <w:t xml:space="preserve">Power of Attorney shall be governed and construed in accordance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with </w:t>
      </w:r>
      <w:r w:rsidRPr="00CE65A1">
        <w:rPr>
          <w:rFonts w:ascii="Arial" w:eastAsia="Times New Roman" w:hAnsi="Arial" w:cs="Arial"/>
          <w:color w:val="000000"/>
          <w:sz w:val="20"/>
          <w:szCs w:val="20"/>
        </w:rPr>
        <w:t>the laws of the Republic of Indonesia</w:t>
      </w:r>
      <w:r w:rsidR="005B0645">
        <w:rPr>
          <w:rFonts w:ascii="Arial" w:eastAsia="Times New Roman" w:hAnsi="Arial" w:cs="Arial"/>
          <w:color w:val="000000"/>
          <w:sz w:val="20"/>
          <w:szCs w:val="20"/>
        </w:rPr>
        <w:t xml:space="preserve"> and</w:t>
      </w:r>
      <w:r w:rsidR="0076421E" w:rsidRPr="0076421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6421E">
        <w:rPr>
          <w:rFonts w:ascii="Arial" w:eastAsia="Times New Roman" w:hAnsi="Arial" w:cs="Arial"/>
          <w:color w:val="000000"/>
          <w:sz w:val="20"/>
          <w:szCs w:val="20"/>
        </w:rPr>
        <w:t>shall be effective</w:t>
      </w:r>
      <w:r w:rsidR="0076421E"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6421E">
        <w:rPr>
          <w:rFonts w:ascii="Arial" w:eastAsia="Times New Roman" w:hAnsi="Arial" w:cs="Arial"/>
          <w:color w:val="000000"/>
          <w:sz w:val="20"/>
          <w:szCs w:val="20"/>
        </w:rPr>
        <w:t>since</w:t>
      </w:r>
      <w:r w:rsidR="0076421E" w:rsidRPr="00CE65A1">
        <w:rPr>
          <w:rFonts w:ascii="Arial" w:eastAsia="Times New Roman" w:hAnsi="Arial" w:cs="Arial"/>
          <w:color w:val="000000"/>
          <w:sz w:val="20"/>
          <w:szCs w:val="20"/>
        </w:rPr>
        <w:t xml:space="preserve"> the date of Power of Attorney below</w:t>
      </w:r>
      <w:r w:rsidR="00F5141B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76421E" w:rsidRPr="00CE65A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5141B">
        <w:rPr>
          <w:rFonts w:ascii="Arial" w:eastAsia="Times New Roman" w:hAnsi="Arial" w:cs="Arial"/>
          <w:color w:val="000000"/>
          <w:sz w:val="20"/>
          <w:szCs w:val="20"/>
        </w:rPr>
        <w:t>T</w:t>
      </w:r>
      <w:r w:rsidR="007F6169">
        <w:rPr>
          <w:rFonts w:ascii="Arial" w:eastAsia="Times New Roman" w:hAnsi="Arial" w:cs="Arial"/>
          <w:color w:val="000000"/>
          <w:sz w:val="20"/>
          <w:szCs w:val="20"/>
        </w:rPr>
        <w:t xml:space="preserve">he power granted shall be </w:t>
      </w:r>
      <w:r w:rsidR="0076421E" w:rsidRPr="00CE65A1">
        <w:rPr>
          <w:rFonts w:ascii="Arial" w:eastAsia="Times New Roman" w:hAnsi="Arial" w:cs="Arial"/>
          <w:color w:val="000000"/>
          <w:sz w:val="20"/>
          <w:szCs w:val="20"/>
        </w:rPr>
        <w:t>irrevocabl</w:t>
      </w:r>
      <w:r w:rsidR="007F6169">
        <w:rPr>
          <w:rFonts w:ascii="Arial" w:eastAsia="Times New Roman" w:hAnsi="Arial" w:cs="Arial"/>
          <w:color w:val="000000"/>
          <w:sz w:val="20"/>
          <w:szCs w:val="20"/>
        </w:rPr>
        <w:t>e</w:t>
      </w:r>
      <w:r w:rsidR="0076421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76421E" w:rsidRDefault="0076421E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6167EF" w:rsidRDefault="006167EF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304B8" w:rsidRDefault="001304B8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304B8" w:rsidRDefault="001304B8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_____________, ________________</w:t>
      </w:r>
      <w:r w:rsidRPr="001304B8">
        <w:rPr>
          <w:rFonts w:ascii="Arial" w:eastAsia="Times New Roman" w:hAnsi="Arial" w:cs="Arial"/>
          <w:color w:val="000000"/>
          <w:sz w:val="20"/>
          <w:szCs w:val="20"/>
        </w:rPr>
        <w:t xml:space="preserve"> 201</w:t>
      </w:r>
      <w:r w:rsidR="00F5141B">
        <w:rPr>
          <w:rFonts w:ascii="Arial" w:eastAsia="Times New Roman" w:hAnsi="Arial" w:cs="Arial"/>
          <w:color w:val="000000"/>
          <w:sz w:val="20"/>
          <w:szCs w:val="20"/>
        </w:rPr>
        <w:t>9</w:t>
      </w:r>
      <w:bookmarkStart w:id="0" w:name="_GoBack"/>
      <w:bookmarkEnd w:id="0"/>
    </w:p>
    <w:p w:rsidR="001304B8" w:rsidRDefault="001304B8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6167EF" w:rsidRPr="00E3443C" w:rsidRDefault="006167EF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4590"/>
      </w:tblGrid>
      <w:tr w:rsidR="008C33F6" w:rsidRPr="00E3443C" w:rsidTr="00126B4A">
        <w:tc>
          <w:tcPr>
            <w:tcW w:w="5058" w:type="dxa"/>
          </w:tcPr>
          <w:p w:rsidR="008C33F6" w:rsidRPr="00E3443C" w:rsidRDefault="007D3DAF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 </w:t>
            </w:r>
            <w:r w:rsidR="005213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Principal</w:t>
            </w:r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1304B8" w:rsidRPr="001304B8" w:rsidRDefault="007D3DAF" w:rsidP="00E17D9C">
            <w:pPr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Govt. Stamp</w:t>
            </w:r>
          </w:p>
          <w:p w:rsidR="0092037B" w:rsidRPr="001304B8" w:rsidRDefault="00E17D9C" w:rsidP="00E17D9C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</w:t>
            </w:r>
            <w:r w:rsidR="007D3D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Rp</w:t>
            </w:r>
            <w:r w:rsidR="001304B8" w:rsidRPr="001304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6.000</w:t>
            </w:r>
          </w:p>
          <w:p w:rsidR="0092037B" w:rsidRPr="001304B8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2037B" w:rsidRPr="001304B8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_______________________________</w:t>
            </w:r>
          </w:p>
          <w:p w:rsidR="008C33F6" w:rsidRPr="001304B8" w:rsidRDefault="008C33F6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:rsidR="008C33F6" w:rsidRPr="00E3443C" w:rsidRDefault="007D3DAF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 </w:t>
            </w:r>
            <w:r w:rsidR="005213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Attorney</w:t>
            </w:r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2037B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E17D9C" w:rsidRPr="00E3443C" w:rsidRDefault="00E17D9C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________________________________</w:t>
            </w:r>
          </w:p>
          <w:p w:rsidR="00D13220" w:rsidRPr="001304B8" w:rsidRDefault="00D13220" w:rsidP="0092037B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8C33F6" w:rsidRPr="00E3443C" w:rsidRDefault="008C33F6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8C33F6" w:rsidRPr="00E3443C" w:rsidSect="00B5486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3ACE"/>
    <w:multiLevelType w:val="multilevel"/>
    <w:tmpl w:val="5552C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56A63"/>
    <w:multiLevelType w:val="hybridMultilevel"/>
    <w:tmpl w:val="42F28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BA2"/>
    <w:multiLevelType w:val="multilevel"/>
    <w:tmpl w:val="75A0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F0338"/>
    <w:multiLevelType w:val="multilevel"/>
    <w:tmpl w:val="3B745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391D29"/>
    <w:multiLevelType w:val="multilevel"/>
    <w:tmpl w:val="E592B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5045B9"/>
    <w:multiLevelType w:val="multilevel"/>
    <w:tmpl w:val="2EF62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0E6CA1"/>
    <w:multiLevelType w:val="hybridMultilevel"/>
    <w:tmpl w:val="4B3A75F4"/>
    <w:lvl w:ilvl="0" w:tplc="3072D1F0">
      <w:start w:val="1"/>
      <w:numFmt w:val="decimal"/>
      <w:lvlText w:val="%1."/>
      <w:lvlJc w:val="righ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wN7I0M7A0MTaytDS0NDBS0lEKTi0uzszPAykwqgUAImzgxywAAAA="/>
  </w:docVars>
  <w:rsids>
    <w:rsidRoot w:val="008C33F6"/>
    <w:rsid w:val="0007513B"/>
    <w:rsid w:val="00087924"/>
    <w:rsid w:val="001264C6"/>
    <w:rsid w:val="00126B4A"/>
    <w:rsid w:val="001304B8"/>
    <w:rsid w:val="001548BC"/>
    <w:rsid w:val="002267B9"/>
    <w:rsid w:val="002B4BD1"/>
    <w:rsid w:val="0042319C"/>
    <w:rsid w:val="00423EB9"/>
    <w:rsid w:val="004671BF"/>
    <w:rsid w:val="004C39A7"/>
    <w:rsid w:val="005213A1"/>
    <w:rsid w:val="005554CB"/>
    <w:rsid w:val="00562C27"/>
    <w:rsid w:val="00576327"/>
    <w:rsid w:val="005B0645"/>
    <w:rsid w:val="005C6C8A"/>
    <w:rsid w:val="005D7BB5"/>
    <w:rsid w:val="00600DB0"/>
    <w:rsid w:val="006167EF"/>
    <w:rsid w:val="00634B5D"/>
    <w:rsid w:val="0067003A"/>
    <w:rsid w:val="006E3E46"/>
    <w:rsid w:val="006F5839"/>
    <w:rsid w:val="007267F4"/>
    <w:rsid w:val="0076421E"/>
    <w:rsid w:val="007D3DAF"/>
    <w:rsid w:val="007F6169"/>
    <w:rsid w:val="00875492"/>
    <w:rsid w:val="008B179D"/>
    <w:rsid w:val="008C33F6"/>
    <w:rsid w:val="008C6A0A"/>
    <w:rsid w:val="008F5032"/>
    <w:rsid w:val="0092037B"/>
    <w:rsid w:val="0096039A"/>
    <w:rsid w:val="00960587"/>
    <w:rsid w:val="009B3A36"/>
    <w:rsid w:val="00A603B3"/>
    <w:rsid w:val="00A662A6"/>
    <w:rsid w:val="00B33027"/>
    <w:rsid w:val="00B54865"/>
    <w:rsid w:val="00B652D2"/>
    <w:rsid w:val="00C232CF"/>
    <w:rsid w:val="00C57980"/>
    <w:rsid w:val="00C76396"/>
    <w:rsid w:val="00CD590B"/>
    <w:rsid w:val="00CE65A1"/>
    <w:rsid w:val="00D13220"/>
    <w:rsid w:val="00D279BC"/>
    <w:rsid w:val="00D62BCB"/>
    <w:rsid w:val="00DA68A3"/>
    <w:rsid w:val="00DC1476"/>
    <w:rsid w:val="00E17D9C"/>
    <w:rsid w:val="00E3443C"/>
    <w:rsid w:val="00EA543A"/>
    <w:rsid w:val="00F07540"/>
    <w:rsid w:val="00F2333F"/>
    <w:rsid w:val="00F5141B"/>
    <w:rsid w:val="00F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8B2FAE-9722-4D39-8C04-E0E6D3C7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027"/>
  </w:style>
  <w:style w:type="paragraph" w:styleId="Heading1">
    <w:name w:val="heading 1"/>
    <w:basedOn w:val="Normal"/>
    <w:next w:val="Normal"/>
    <w:link w:val="Heading1Char"/>
    <w:qFormat/>
    <w:rsid w:val="004671B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33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671BF"/>
    <w:rPr>
      <w:rFonts w:ascii="Times New Roman" w:eastAsia="Times New Roman" w:hAnsi="Times New Roman" w:cs="Times New Roman"/>
      <w:sz w:val="24"/>
      <w:szCs w:val="20"/>
    </w:rPr>
  </w:style>
  <w:style w:type="paragraph" w:customStyle="1" w:styleId="Pa3">
    <w:name w:val="Pa3"/>
    <w:basedOn w:val="Normal"/>
    <w:uiPriority w:val="99"/>
    <w:rsid w:val="009B3A36"/>
    <w:pPr>
      <w:autoSpaceDE w:val="0"/>
      <w:autoSpaceDN w:val="0"/>
      <w:spacing w:after="0" w:line="24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</dc:creator>
  <cp:lastModifiedBy>Aditya Pamadya Sudjono</cp:lastModifiedBy>
  <cp:revision>3</cp:revision>
  <dcterms:created xsi:type="dcterms:W3CDTF">2019-04-08T05:17:00Z</dcterms:created>
  <dcterms:modified xsi:type="dcterms:W3CDTF">2019-04-08T05:19:00Z</dcterms:modified>
</cp:coreProperties>
</file>